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92AD" w14:textId="1A794546" w:rsidR="00732819" w:rsidRDefault="00732819" w:rsidP="00732819">
      <w:pPr>
        <w:spacing w:line="0" w:lineRule="atLeast"/>
        <w:jc w:val="center"/>
        <w:rPr>
          <w:sz w:val="22"/>
        </w:rPr>
      </w:pPr>
      <w:r>
        <w:rPr>
          <w:noProof/>
        </w:rPr>
        <w:drawing>
          <wp:inline distT="0" distB="0" distL="0" distR="0" wp14:anchorId="39634773" wp14:editId="00E5B867">
            <wp:extent cx="2904490" cy="1066800"/>
            <wp:effectExtent l="0" t="0" r="0" b="0"/>
            <wp:docPr id="3" name="Image 3"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9396" cy="1123696"/>
                    </a:xfrm>
                    <a:prstGeom prst="rect">
                      <a:avLst/>
                    </a:prstGeom>
                    <a:noFill/>
                    <a:ln>
                      <a:noFill/>
                    </a:ln>
                  </pic:spPr>
                </pic:pic>
              </a:graphicData>
            </a:graphic>
          </wp:inline>
        </w:drawing>
      </w:r>
    </w:p>
    <w:p w14:paraId="00DAD58F" w14:textId="77777777" w:rsidR="00710E88" w:rsidRDefault="00710E88" w:rsidP="00946B37">
      <w:pPr>
        <w:spacing w:line="0" w:lineRule="atLeast"/>
        <w:jc w:val="center"/>
        <w:rPr>
          <w:b/>
          <w:bCs/>
          <w:sz w:val="32"/>
          <w:szCs w:val="32"/>
        </w:rPr>
      </w:pPr>
    </w:p>
    <w:p w14:paraId="02619C41" w14:textId="22FDE22E" w:rsidR="00732819" w:rsidRPr="00946B37" w:rsidRDefault="00946B37" w:rsidP="00946B37">
      <w:pPr>
        <w:spacing w:line="0" w:lineRule="atLeast"/>
        <w:jc w:val="center"/>
        <w:rPr>
          <w:b/>
          <w:bCs/>
          <w:sz w:val="32"/>
          <w:szCs w:val="32"/>
        </w:rPr>
      </w:pPr>
      <w:r w:rsidRPr="00946B37">
        <w:rPr>
          <w:b/>
          <w:bCs/>
          <w:sz w:val="32"/>
          <w:szCs w:val="32"/>
        </w:rPr>
        <w:t>Règlement Intérieur</w:t>
      </w:r>
    </w:p>
    <w:p w14:paraId="7E3B7D3F" w14:textId="77777777" w:rsidR="00946B37" w:rsidRPr="00946B37" w:rsidRDefault="00946B37" w:rsidP="00946B37">
      <w:pPr>
        <w:spacing w:line="0" w:lineRule="atLeast"/>
        <w:jc w:val="center"/>
        <w:rPr>
          <w:b/>
          <w:bCs/>
          <w:sz w:val="32"/>
          <w:szCs w:val="32"/>
        </w:rPr>
      </w:pPr>
    </w:p>
    <w:p w14:paraId="2F3DEE62" w14:textId="6C832551" w:rsidR="00732819" w:rsidRDefault="00732819" w:rsidP="00732819">
      <w:pPr>
        <w:spacing w:line="0" w:lineRule="atLeast"/>
        <w:rPr>
          <w:sz w:val="22"/>
        </w:rPr>
      </w:pPr>
      <w:r>
        <w:rPr>
          <w:sz w:val="22"/>
        </w:rPr>
        <w:t>Le Règlement Intérieur est adopté en assemblée générale.</w:t>
      </w:r>
    </w:p>
    <w:p w14:paraId="75EF050F" w14:textId="77777777" w:rsidR="00732819" w:rsidRDefault="00732819" w:rsidP="009B7AE6">
      <w:pPr>
        <w:spacing w:line="96" w:lineRule="auto"/>
        <w:rPr>
          <w:rFonts w:ascii="Times New Roman" w:eastAsia="Times New Roman" w:hAnsi="Times New Roman"/>
          <w:sz w:val="24"/>
        </w:rPr>
      </w:pPr>
    </w:p>
    <w:p w14:paraId="6DA1FA05" w14:textId="77777777" w:rsidR="00732819" w:rsidRDefault="00732819" w:rsidP="00732819">
      <w:pPr>
        <w:numPr>
          <w:ilvl w:val="0"/>
          <w:numId w:val="1"/>
        </w:numPr>
        <w:tabs>
          <w:tab w:val="left" w:pos="240"/>
        </w:tabs>
        <w:spacing w:line="0" w:lineRule="atLeast"/>
        <w:ind w:left="240" w:hanging="240"/>
        <w:rPr>
          <w:b/>
          <w:sz w:val="24"/>
        </w:rPr>
      </w:pPr>
      <w:r>
        <w:rPr>
          <w:b/>
          <w:sz w:val="24"/>
          <w:u w:val="single"/>
        </w:rPr>
        <w:t>Acteurs</w:t>
      </w:r>
    </w:p>
    <w:p w14:paraId="7A018F78" w14:textId="77777777" w:rsidR="00732819" w:rsidRDefault="00732819" w:rsidP="00732819">
      <w:pPr>
        <w:spacing w:line="19" w:lineRule="exact"/>
        <w:rPr>
          <w:rFonts w:ascii="Times New Roman" w:eastAsia="Times New Roman" w:hAnsi="Times New Roman"/>
          <w:sz w:val="24"/>
        </w:rPr>
      </w:pPr>
    </w:p>
    <w:p w14:paraId="28E9DFF6" w14:textId="77777777" w:rsidR="00732819" w:rsidRDefault="00732819" w:rsidP="00732819">
      <w:pPr>
        <w:spacing w:line="0" w:lineRule="atLeast"/>
        <w:rPr>
          <w:b/>
          <w:sz w:val="22"/>
        </w:rPr>
      </w:pPr>
      <w:r>
        <w:rPr>
          <w:b/>
          <w:sz w:val="22"/>
        </w:rPr>
        <w:t>Producteurs</w:t>
      </w:r>
    </w:p>
    <w:p w14:paraId="2F41B377" w14:textId="2113D150" w:rsidR="00732819" w:rsidRDefault="00732819" w:rsidP="00732819">
      <w:pPr>
        <w:numPr>
          <w:ilvl w:val="0"/>
          <w:numId w:val="2"/>
        </w:numPr>
        <w:tabs>
          <w:tab w:val="left" w:pos="213"/>
        </w:tabs>
        <w:spacing w:line="0" w:lineRule="atLeast"/>
        <w:jc w:val="both"/>
        <w:rPr>
          <w:sz w:val="22"/>
        </w:rPr>
      </w:pPr>
      <w:r>
        <w:rPr>
          <w:sz w:val="22"/>
        </w:rPr>
        <w:t>La collégiale de l'association Mona</w:t>
      </w:r>
      <w:r w:rsidR="00946B37">
        <w:rPr>
          <w:sz w:val="22"/>
        </w:rPr>
        <w:t xml:space="preserve"> </w:t>
      </w:r>
      <w:r>
        <w:rPr>
          <w:sz w:val="22"/>
        </w:rPr>
        <w:t>Lisa choisit les producteurs intéressés pour intégrer l'association en fonction de leur mode de production (biologique et/ou durable et</w:t>
      </w:r>
      <w:r w:rsidR="0069754C">
        <w:rPr>
          <w:sz w:val="22"/>
        </w:rPr>
        <w:t>/</w:t>
      </w:r>
      <w:r>
        <w:rPr>
          <w:sz w:val="22"/>
        </w:rPr>
        <w:t>ou raisonné), de leur proximité et des produits proposés. Chaque producteur doit être transparent sur ses produits et ses modes de production.</w:t>
      </w:r>
    </w:p>
    <w:p w14:paraId="068EA092" w14:textId="77777777" w:rsidR="00732819" w:rsidRDefault="00732819" w:rsidP="00732819">
      <w:pPr>
        <w:numPr>
          <w:ilvl w:val="0"/>
          <w:numId w:val="2"/>
        </w:numPr>
        <w:tabs>
          <w:tab w:val="left" w:pos="220"/>
        </w:tabs>
        <w:spacing w:line="0" w:lineRule="atLeast"/>
        <w:ind w:left="220" w:hanging="220"/>
        <w:rPr>
          <w:sz w:val="22"/>
        </w:rPr>
      </w:pPr>
      <w:r>
        <w:rPr>
          <w:sz w:val="22"/>
        </w:rPr>
        <w:t>Les producteurs décident seuls des produits qu'ils proposent et des prix qu'ils pratiquent.</w:t>
      </w:r>
    </w:p>
    <w:p w14:paraId="68CA1462" w14:textId="77777777" w:rsidR="00732819" w:rsidRDefault="00732819" w:rsidP="00732819">
      <w:pPr>
        <w:spacing w:line="0" w:lineRule="atLeast"/>
        <w:rPr>
          <w:b/>
          <w:sz w:val="22"/>
        </w:rPr>
      </w:pPr>
      <w:r>
        <w:rPr>
          <w:b/>
          <w:sz w:val="22"/>
        </w:rPr>
        <w:t>Consomm’acteurs</w:t>
      </w:r>
    </w:p>
    <w:p w14:paraId="2B7CEFC2" w14:textId="77777777" w:rsidR="00732819" w:rsidRDefault="00732819" w:rsidP="00732819">
      <w:pPr>
        <w:spacing w:line="18" w:lineRule="exact"/>
        <w:rPr>
          <w:rFonts w:ascii="Times New Roman" w:eastAsia="Times New Roman" w:hAnsi="Times New Roman"/>
          <w:sz w:val="24"/>
        </w:rPr>
      </w:pPr>
    </w:p>
    <w:p w14:paraId="7306BE7D" w14:textId="566EE9F4" w:rsidR="00732819" w:rsidRDefault="00732819" w:rsidP="00732819">
      <w:pPr>
        <w:spacing w:line="241" w:lineRule="auto"/>
        <w:jc w:val="both"/>
        <w:rPr>
          <w:sz w:val="22"/>
        </w:rPr>
      </w:pPr>
      <w:r>
        <w:rPr>
          <w:sz w:val="22"/>
        </w:rPr>
        <w:t>Le consomm’acteur n’est pas seulement un client</w:t>
      </w:r>
      <w:r w:rsidR="0069754C">
        <w:rPr>
          <w:sz w:val="22"/>
        </w:rPr>
        <w:t>.</w:t>
      </w:r>
      <w:r>
        <w:rPr>
          <w:sz w:val="22"/>
        </w:rPr>
        <w:t xml:space="preserve"> </w:t>
      </w:r>
      <w:r w:rsidR="0069754C">
        <w:rPr>
          <w:sz w:val="22"/>
        </w:rPr>
        <w:t>S</w:t>
      </w:r>
      <w:r>
        <w:rPr>
          <w:sz w:val="22"/>
        </w:rPr>
        <w:t>on adhésion entraîne une implication dans le fonctionnement et/ou la promotion de l’association. Il remplit un bulletin d'adhésion, s’acquitte de sa cotisation annuelle et atteste avoir pris connaissance de la Charte et du Règlement intérieur de l'association MonaLisa</w:t>
      </w:r>
      <w:r w:rsidR="009B7AE6">
        <w:rPr>
          <w:sz w:val="22"/>
        </w:rPr>
        <w:t xml:space="preserve"> -Paniers Producteurs-.</w:t>
      </w:r>
    </w:p>
    <w:p w14:paraId="64C6B985" w14:textId="77777777" w:rsidR="00732819" w:rsidRDefault="00732819" w:rsidP="00742D26">
      <w:pPr>
        <w:spacing w:line="96" w:lineRule="auto"/>
        <w:rPr>
          <w:rFonts w:ascii="Times New Roman" w:eastAsia="Times New Roman" w:hAnsi="Times New Roman"/>
          <w:sz w:val="24"/>
        </w:rPr>
      </w:pPr>
    </w:p>
    <w:p w14:paraId="36C803C0" w14:textId="77777777" w:rsidR="00732819" w:rsidRDefault="00732819" w:rsidP="00732819">
      <w:pPr>
        <w:numPr>
          <w:ilvl w:val="0"/>
          <w:numId w:val="3"/>
        </w:numPr>
        <w:tabs>
          <w:tab w:val="left" w:pos="240"/>
        </w:tabs>
        <w:spacing w:line="0" w:lineRule="atLeast"/>
        <w:ind w:left="240" w:hanging="240"/>
        <w:rPr>
          <w:b/>
          <w:sz w:val="24"/>
        </w:rPr>
      </w:pPr>
      <w:r>
        <w:rPr>
          <w:b/>
          <w:sz w:val="24"/>
          <w:u w:val="single"/>
        </w:rPr>
        <w:t>Cotisations</w:t>
      </w:r>
    </w:p>
    <w:p w14:paraId="3244ADD3" w14:textId="77777777" w:rsidR="00732819" w:rsidRDefault="00732819" w:rsidP="00732819">
      <w:pPr>
        <w:spacing w:line="19" w:lineRule="exact"/>
        <w:rPr>
          <w:rFonts w:ascii="Times New Roman" w:eastAsia="Times New Roman" w:hAnsi="Times New Roman"/>
          <w:sz w:val="24"/>
        </w:rPr>
      </w:pPr>
    </w:p>
    <w:p w14:paraId="0FCD3FA9" w14:textId="56BFF013" w:rsidR="00732819" w:rsidRDefault="00732819" w:rsidP="00732819">
      <w:pPr>
        <w:spacing w:line="0" w:lineRule="atLeast"/>
        <w:rPr>
          <w:sz w:val="22"/>
        </w:rPr>
      </w:pPr>
      <w:r>
        <w:rPr>
          <w:sz w:val="22"/>
        </w:rPr>
        <w:t>Une cotisation annuelle</w:t>
      </w:r>
      <w:r w:rsidR="00710E88">
        <w:rPr>
          <w:sz w:val="22"/>
        </w:rPr>
        <w:t xml:space="preserve"> (année civile) </w:t>
      </w:r>
      <w:r>
        <w:rPr>
          <w:sz w:val="22"/>
        </w:rPr>
        <w:t>fixée en assemblée générale est demandée à tous les adhérents.</w:t>
      </w:r>
    </w:p>
    <w:p w14:paraId="500FFF39" w14:textId="77777777" w:rsidR="00732819" w:rsidRDefault="00732819" w:rsidP="00732819">
      <w:pPr>
        <w:spacing w:line="0" w:lineRule="atLeast"/>
        <w:rPr>
          <w:sz w:val="22"/>
        </w:rPr>
      </w:pPr>
      <w:r>
        <w:rPr>
          <w:sz w:val="22"/>
        </w:rPr>
        <w:t>La livraison de produits via l’association ne sera possible que pour les adhérents à jour de cotisation.</w:t>
      </w:r>
    </w:p>
    <w:p w14:paraId="10BF1CD4" w14:textId="77777777" w:rsidR="00732819" w:rsidRDefault="00732819" w:rsidP="00742D26">
      <w:pPr>
        <w:spacing w:line="96" w:lineRule="auto"/>
        <w:rPr>
          <w:rFonts w:ascii="Times New Roman" w:eastAsia="Times New Roman" w:hAnsi="Times New Roman"/>
          <w:sz w:val="24"/>
        </w:rPr>
      </w:pPr>
    </w:p>
    <w:p w14:paraId="0EC1B2CE" w14:textId="09EE0E32" w:rsidR="00732819" w:rsidRDefault="00732819" w:rsidP="00732819">
      <w:pPr>
        <w:numPr>
          <w:ilvl w:val="0"/>
          <w:numId w:val="4"/>
        </w:numPr>
        <w:tabs>
          <w:tab w:val="left" w:pos="240"/>
        </w:tabs>
        <w:spacing w:line="0" w:lineRule="atLeast"/>
        <w:ind w:left="240" w:hanging="240"/>
        <w:rPr>
          <w:b/>
          <w:sz w:val="24"/>
        </w:rPr>
      </w:pPr>
      <w:r>
        <w:rPr>
          <w:b/>
          <w:sz w:val="24"/>
          <w:u w:val="single"/>
        </w:rPr>
        <w:t xml:space="preserve">Contrats, commandes et </w:t>
      </w:r>
      <w:r w:rsidR="008C5F0C">
        <w:rPr>
          <w:b/>
          <w:sz w:val="24"/>
          <w:u w:val="single"/>
        </w:rPr>
        <w:t>livraisons</w:t>
      </w:r>
    </w:p>
    <w:p w14:paraId="37F54EBF" w14:textId="77777777" w:rsidR="00732819" w:rsidRDefault="00732819" w:rsidP="00732819">
      <w:pPr>
        <w:spacing w:line="19" w:lineRule="exact"/>
        <w:rPr>
          <w:rFonts w:ascii="Times New Roman" w:eastAsia="Times New Roman" w:hAnsi="Times New Roman"/>
          <w:sz w:val="24"/>
        </w:rPr>
      </w:pPr>
    </w:p>
    <w:p w14:paraId="58DABAEB" w14:textId="77777777" w:rsidR="00732819" w:rsidRDefault="00732819" w:rsidP="00732819">
      <w:pPr>
        <w:spacing w:line="0" w:lineRule="atLeast"/>
        <w:rPr>
          <w:sz w:val="22"/>
        </w:rPr>
      </w:pPr>
      <w:r>
        <w:rPr>
          <w:sz w:val="22"/>
        </w:rPr>
        <w:t>L’engagement d’achat peut prendre différentes formes :</w:t>
      </w:r>
    </w:p>
    <w:p w14:paraId="5A41B8CA" w14:textId="77777777" w:rsidR="00732819" w:rsidRDefault="00732819" w:rsidP="00946B37">
      <w:pPr>
        <w:spacing w:line="0" w:lineRule="atLeast"/>
        <w:rPr>
          <w:b/>
          <w:sz w:val="22"/>
        </w:rPr>
      </w:pPr>
      <w:r>
        <w:rPr>
          <w:b/>
          <w:sz w:val="22"/>
        </w:rPr>
        <w:t>Contrats :</w:t>
      </w:r>
    </w:p>
    <w:p w14:paraId="265AFB0C" w14:textId="57F7E7F5" w:rsidR="00732819" w:rsidRDefault="00732819" w:rsidP="00946B37">
      <w:pPr>
        <w:spacing w:line="238" w:lineRule="auto"/>
        <w:jc w:val="both"/>
        <w:rPr>
          <w:sz w:val="22"/>
        </w:rPr>
      </w:pPr>
      <w:r>
        <w:rPr>
          <w:sz w:val="22"/>
        </w:rPr>
        <w:t>Pour certains produits (légumes, fruits</w:t>
      </w:r>
      <w:r w:rsidR="008C5F0C">
        <w:rPr>
          <w:sz w:val="22"/>
        </w:rPr>
        <w:t>-</w:t>
      </w:r>
      <w:r>
        <w:rPr>
          <w:sz w:val="22"/>
        </w:rPr>
        <w:t xml:space="preserve">volailles, </w:t>
      </w:r>
      <w:r w:rsidR="008C5F0C">
        <w:rPr>
          <w:sz w:val="22"/>
        </w:rPr>
        <w:t>bœuf-veau</w:t>
      </w:r>
      <w:r>
        <w:rPr>
          <w:sz w:val="22"/>
        </w:rPr>
        <w:t>, huile d’olive), un contrat est établi pour une période définie, correspondant aux besoins du producteur ; ce contrat est reconductible et modifiable. Les contrats sont élaborés en concertation entre producteurs et consomm'acteurs.</w:t>
      </w:r>
    </w:p>
    <w:p w14:paraId="0B5DB0C9" w14:textId="77777777" w:rsidR="00732819" w:rsidRDefault="00732819" w:rsidP="00732819">
      <w:pPr>
        <w:spacing w:line="3" w:lineRule="exact"/>
        <w:rPr>
          <w:rFonts w:ascii="Times New Roman" w:eastAsia="Times New Roman" w:hAnsi="Times New Roman"/>
          <w:sz w:val="24"/>
        </w:rPr>
      </w:pPr>
    </w:p>
    <w:p w14:paraId="2453D60E" w14:textId="77777777" w:rsidR="00732819" w:rsidRDefault="00732819" w:rsidP="00946B37">
      <w:pPr>
        <w:spacing w:line="0" w:lineRule="atLeast"/>
        <w:rPr>
          <w:b/>
          <w:sz w:val="22"/>
        </w:rPr>
      </w:pPr>
      <w:r>
        <w:rPr>
          <w:b/>
          <w:sz w:val="22"/>
        </w:rPr>
        <w:t>Commandes :</w:t>
      </w:r>
    </w:p>
    <w:p w14:paraId="3F47920E" w14:textId="0475C14D" w:rsidR="00732819" w:rsidRDefault="00732819" w:rsidP="00946B37">
      <w:pPr>
        <w:spacing w:line="0" w:lineRule="atLeast"/>
        <w:jc w:val="both"/>
        <w:rPr>
          <w:sz w:val="22"/>
        </w:rPr>
      </w:pPr>
      <w:r>
        <w:rPr>
          <w:sz w:val="22"/>
        </w:rPr>
        <w:t xml:space="preserve">Pour d'autres produits (miels, </w:t>
      </w:r>
      <w:r w:rsidR="008C5F0C">
        <w:rPr>
          <w:sz w:val="22"/>
        </w:rPr>
        <w:t xml:space="preserve">épices, hydrolats, </w:t>
      </w:r>
      <w:r>
        <w:rPr>
          <w:sz w:val="22"/>
        </w:rPr>
        <w:t>viandes</w:t>
      </w:r>
      <w:r w:rsidR="008C5F0C">
        <w:rPr>
          <w:sz w:val="22"/>
        </w:rPr>
        <w:t xml:space="preserve"> -canard, agneau-</w:t>
      </w:r>
      <w:r>
        <w:rPr>
          <w:sz w:val="22"/>
        </w:rPr>
        <w:t xml:space="preserve">, </w:t>
      </w:r>
      <w:r w:rsidR="008C5F0C">
        <w:rPr>
          <w:sz w:val="22"/>
        </w:rPr>
        <w:t>pâtes-farines</w:t>
      </w:r>
      <w:r>
        <w:rPr>
          <w:sz w:val="22"/>
        </w:rPr>
        <w:t xml:space="preserve">, agrumes, </w:t>
      </w:r>
      <w:r w:rsidR="008C5F0C">
        <w:rPr>
          <w:sz w:val="22"/>
        </w:rPr>
        <w:t>noix, kiwis</w:t>
      </w:r>
      <w:r>
        <w:rPr>
          <w:sz w:val="22"/>
        </w:rPr>
        <w:t>), le producteur informe de la liste des produits, du jour de livraison et de la date limite de commande.</w:t>
      </w:r>
    </w:p>
    <w:p w14:paraId="37BAFB0D" w14:textId="4E82D083" w:rsidR="00732819" w:rsidRDefault="00732819" w:rsidP="00946B37">
      <w:pPr>
        <w:spacing w:line="242" w:lineRule="auto"/>
        <w:jc w:val="both"/>
        <w:rPr>
          <w:sz w:val="22"/>
        </w:rPr>
      </w:pPr>
      <w:r>
        <w:rPr>
          <w:sz w:val="22"/>
        </w:rPr>
        <w:t xml:space="preserve">La livraison des commandes s’effectue </w:t>
      </w:r>
      <w:r w:rsidR="008C5F0C">
        <w:rPr>
          <w:sz w:val="22"/>
        </w:rPr>
        <w:t xml:space="preserve">le jour du marché nocturne </w:t>
      </w:r>
      <w:r>
        <w:rPr>
          <w:sz w:val="22"/>
        </w:rPr>
        <w:t>ou</w:t>
      </w:r>
      <w:r w:rsidR="009B7AE6">
        <w:rPr>
          <w:sz w:val="22"/>
        </w:rPr>
        <w:t>,</w:t>
      </w:r>
      <w:r>
        <w:rPr>
          <w:sz w:val="22"/>
        </w:rPr>
        <w:t xml:space="preserve"> exceptionnellement</w:t>
      </w:r>
      <w:r w:rsidR="009B7AE6">
        <w:rPr>
          <w:sz w:val="22"/>
        </w:rPr>
        <w:t>,</w:t>
      </w:r>
      <w:r>
        <w:rPr>
          <w:sz w:val="22"/>
        </w:rPr>
        <w:t xml:space="preserve"> à un autre jour déterminé avec le producteur.</w:t>
      </w:r>
    </w:p>
    <w:p w14:paraId="1B3E0501" w14:textId="77777777" w:rsidR="00732819" w:rsidRDefault="00732819" w:rsidP="00742D26">
      <w:pPr>
        <w:spacing w:line="96" w:lineRule="auto"/>
        <w:rPr>
          <w:rFonts w:ascii="Times New Roman" w:eastAsia="Times New Roman" w:hAnsi="Times New Roman"/>
          <w:sz w:val="24"/>
        </w:rPr>
      </w:pPr>
    </w:p>
    <w:p w14:paraId="3552C4B1" w14:textId="67DA0D1E" w:rsidR="00732819" w:rsidRDefault="008C5F0C" w:rsidP="00732819">
      <w:pPr>
        <w:spacing w:line="0" w:lineRule="atLeast"/>
        <w:rPr>
          <w:sz w:val="22"/>
        </w:rPr>
      </w:pPr>
      <w:r>
        <w:rPr>
          <w:sz w:val="22"/>
        </w:rPr>
        <w:t xml:space="preserve">Du fait de la suppression des distributions hebdomadaires </w:t>
      </w:r>
      <w:r w:rsidR="009B7AE6">
        <w:rPr>
          <w:sz w:val="22"/>
        </w:rPr>
        <w:t>qui n’attiraient plus grand monde faute de produits élémentaires (pains, œufs, fromages), il a été décidé avec l’accord de la Mairie d’organiser des marchés nocturnes, le 1</w:t>
      </w:r>
      <w:r w:rsidR="009B7AE6" w:rsidRPr="009B7AE6">
        <w:rPr>
          <w:sz w:val="22"/>
          <w:vertAlign w:val="superscript"/>
        </w:rPr>
        <w:t>er</w:t>
      </w:r>
      <w:r w:rsidR="009B7AE6">
        <w:rPr>
          <w:sz w:val="22"/>
        </w:rPr>
        <w:t xml:space="preserve"> jeudi du mois de </w:t>
      </w:r>
      <w:r w:rsidR="009B7AE6" w:rsidRPr="009B7AE6">
        <w:rPr>
          <w:b/>
          <w:bCs/>
          <w:sz w:val="22"/>
        </w:rPr>
        <w:t>17</w:t>
      </w:r>
      <w:r w:rsidR="009B7AE6">
        <w:rPr>
          <w:b/>
          <w:bCs/>
          <w:sz w:val="22"/>
        </w:rPr>
        <w:t xml:space="preserve"> </w:t>
      </w:r>
      <w:r w:rsidR="009B7AE6" w:rsidRPr="009B7AE6">
        <w:rPr>
          <w:b/>
          <w:bCs/>
          <w:sz w:val="22"/>
        </w:rPr>
        <w:t>h</w:t>
      </w:r>
      <w:r w:rsidR="009B7AE6">
        <w:rPr>
          <w:b/>
          <w:bCs/>
          <w:sz w:val="22"/>
        </w:rPr>
        <w:t xml:space="preserve"> </w:t>
      </w:r>
      <w:r w:rsidR="009B7AE6" w:rsidRPr="009B7AE6">
        <w:rPr>
          <w:b/>
          <w:bCs/>
          <w:sz w:val="22"/>
        </w:rPr>
        <w:t>30 à 20</w:t>
      </w:r>
      <w:r w:rsidR="009B7AE6">
        <w:rPr>
          <w:b/>
          <w:bCs/>
          <w:sz w:val="22"/>
        </w:rPr>
        <w:t xml:space="preserve"> </w:t>
      </w:r>
      <w:r w:rsidR="009B7AE6" w:rsidRPr="009B7AE6">
        <w:rPr>
          <w:b/>
          <w:bCs/>
          <w:sz w:val="22"/>
        </w:rPr>
        <w:t>h</w:t>
      </w:r>
      <w:r w:rsidR="009B7AE6">
        <w:rPr>
          <w:sz w:val="22"/>
        </w:rPr>
        <w:t xml:space="preserve"> - Place de la Mairie à Pierrevert.</w:t>
      </w:r>
    </w:p>
    <w:p w14:paraId="022B1EF7" w14:textId="2FA6BB9D" w:rsidR="00732819" w:rsidRPr="002613AB" w:rsidRDefault="00732819" w:rsidP="00732819">
      <w:pPr>
        <w:spacing w:line="0" w:lineRule="atLeast"/>
        <w:rPr>
          <w:b/>
          <w:bCs/>
          <w:sz w:val="22"/>
        </w:rPr>
      </w:pPr>
      <w:r w:rsidRPr="002613AB">
        <w:rPr>
          <w:b/>
          <w:bCs/>
          <w:sz w:val="22"/>
        </w:rPr>
        <w:t xml:space="preserve">Il est important que </w:t>
      </w:r>
      <w:r w:rsidR="009B7AE6">
        <w:rPr>
          <w:b/>
          <w:bCs/>
          <w:sz w:val="22"/>
        </w:rPr>
        <w:t>P</w:t>
      </w:r>
      <w:r w:rsidRPr="002613AB">
        <w:rPr>
          <w:b/>
          <w:bCs/>
          <w:sz w:val="22"/>
        </w:rPr>
        <w:t xml:space="preserve">roducteurs et </w:t>
      </w:r>
      <w:r w:rsidR="009B7AE6">
        <w:rPr>
          <w:b/>
          <w:bCs/>
          <w:sz w:val="22"/>
        </w:rPr>
        <w:t>A</w:t>
      </w:r>
      <w:r w:rsidRPr="002613AB">
        <w:rPr>
          <w:b/>
          <w:bCs/>
          <w:sz w:val="22"/>
        </w:rPr>
        <w:t xml:space="preserve">dhérents respectent </w:t>
      </w:r>
      <w:r w:rsidR="009B7AE6">
        <w:rPr>
          <w:b/>
          <w:bCs/>
          <w:sz w:val="22"/>
        </w:rPr>
        <w:t>cet horaire</w:t>
      </w:r>
      <w:r w:rsidRPr="002613AB">
        <w:rPr>
          <w:b/>
          <w:bCs/>
          <w:sz w:val="22"/>
        </w:rPr>
        <w:t>.</w:t>
      </w:r>
    </w:p>
    <w:p w14:paraId="4B4F9FC1" w14:textId="77777777" w:rsidR="00732819" w:rsidRDefault="00732819" w:rsidP="00742D26">
      <w:pPr>
        <w:spacing w:line="96" w:lineRule="auto"/>
        <w:rPr>
          <w:rFonts w:ascii="Times New Roman" w:eastAsia="Times New Roman" w:hAnsi="Times New Roman"/>
          <w:sz w:val="24"/>
        </w:rPr>
      </w:pPr>
    </w:p>
    <w:p w14:paraId="48B08788" w14:textId="77777777" w:rsidR="00732819" w:rsidRDefault="00732819" w:rsidP="00732819">
      <w:pPr>
        <w:numPr>
          <w:ilvl w:val="0"/>
          <w:numId w:val="5"/>
        </w:numPr>
        <w:tabs>
          <w:tab w:val="left" w:pos="240"/>
        </w:tabs>
        <w:spacing w:line="0" w:lineRule="atLeast"/>
        <w:ind w:left="240" w:hanging="240"/>
        <w:rPr>
          <w:b/>
          <w:sz w:val="24"/>
        </w:rPr>
      </w:pPr>
      <w:r>
        <w:rPr>
          <w:b/>
          <w:sz w:val="24"/>
          <w:u w:val="single"/>
        </w:rPr>
        <w:t>Paiement</w:t>
      </w:r>
    </w:p>
    <w:p w14:paraId="374C43C6" w14:textId="77777777" w:rsidR="00732819" w:rsidRDefault="00732819" w:rsidP="00732819">
      <w:pPr>
        <w:spacing w:line="19" w:lineRule="exact"/>
        <w:rPr>
          <w:rFonts w:ascii="Times New Roman" w:eastAsia="Times New Roman" w:hAnsi="Times New Roman"/>
          <w:sz w:val="24"/>
        </w:rPr>
      </w:pPr>
    </w:p>
    <w:p w14:paraId="03D0D4D5" w14:textId="49231299" w:rsidR="00732819" w:rsidRDefault="00732819" w:rsidP="00732819">
      <w:pPr>
        <w:spacing w:line="242" w:lineRule="auto"/>
        <w:rPr>
          <w:sz w:val="22"/>
        </w:rPr>
      </w:pPr>
      <w:r>
        <w:rPr>
          <w:sz w:val="22"/>
        </w:rPr>
        <w:t>Les règlements se font directement aux producteurs ou, éventuellement, à l’association selon le produit (par exemple agrumes de Sicile</w:t>
      </w:r>
      <w:r w:rsidR="008C5F0C">
        <w:rPr>
          <w:sz w:val="22"/>
        </w:rPr>
        <w:t xml:space="preserve"> ou noix</w:t>
      </w:r>
      <w:r>
        <w:rPr>
          <w:sz w:val="22"/>
        </w:rPr>
        <w:t>).</w:t>
      </w:r>
    </w:p>
    <w:p w14:paraId="7D8190F1" w14:textId="77777777" w:rsidR="00732819" w:rsidRDefault="00732819" w:rsidP="00742D26">
      <w:pPr>
        <w:spacing w:line="96" w:lineRule="auto"/>
        <w:rPr>
          <w:rFonts w:ascii="Times New Roman" w:eastAsia="Times New Roman" w:hAnsi="Times New Roman"/>
          <w:sz w:val="24"/>
        </w:rPr>
      </w:pPr>
    </w:p>
    <w:p w14:paraId="6EA27C23" w14:textId="77777777" w:rsidR="00732819" w:rsidRDefault="00732819" w:rsidP="00732819">
      <w:pPr>
        <w:numPr>
          <w:ilvl w:val="0"/>
          <w:numId w:val="6"/>
        </w:numPr>
        <w:tabs>
          <w:tab w:val="left" w:pos="240"/>
        </w:tabs>
        <w:spacing w:line="0" w:lineRule="atLeast"/>
        <w:ind w:left="240" w:hanging="240"/>
        <w:rPr>
          <w:b/>
          <w:sz w:val="24"/>
        </w:rPr>
      </w:pPr>
      <w:r>
        <w:rPr>
          <w:b/>
          <w:sz w:val="24"/>
          <w:u w:val="single"/>
        </w:rPr>
        <w:t>Autres activités</w:t>
      </w:r>
    </w:p>
    <w:p w14:paraId="6A813E07" w14:textId="77777777" w:rsidR="00732819" w:rsidRDefault="00732819" w:rsidP="00732819">
      <w:pPr>
        <w:spacing w:line="19" w:lineRule="exact"/>
        <w:rPr>
          <w:rFonts w:ascii="Times New Roman" w:eastAsia="Times New Roman" w:hAnsi="Times New Roman"/>
          <w:sz w:val="24"/>
        </w:rPr>
      </w:pPr>
    </w:p>
    <w:p w14:paraId="7B35815C" w14:textId="130EFAC5" w:rsidR="00732819" w:rsidRDefault="009B7AE6" w:rsidP="00732819">
      <w:pPr>
        <w:spacing w:line="0" w:lineRule="atLeast"/>
        <w:jc w:val="both"/>
        <w:rPr>
          <w:sz w:val="22"/>
        </w:rPr>
      </w:pPr>
      <w:r>
        <w:rPr>
          <w:sz w:val="22"/>
        </w:rPr>
        <w:t>Ces marchés</w:t>
      </w:r>
      <w:r w:rsidR="00732819">
        <w:rPr>
          <w:sz w:val="22"/>
        </w:rPr>
        <w:t xml:space="preserve"> sont des moments privilégiés de rencontre entre producteurs et consomm’acteurs. La collégiale et les producteurs peuvent proposer des visites d’exploitations, des animations et des dégustations pour mieux faire connaître leur mode de production et leurs produits.</w:t>
      </w:r>
    </w:p>
    <w:p w14:paraId="4EB09910" w14:textId="77777777" w:rsidR="00732819" w:rsidRDefault="00732819" w:rsidP="00732819">
      <w:pPr>
        <w:spacing w:line="1" w:lineRule="exact"/>
        <w:rPr>
          <w:rFonts w:ascii="Times New Roman" w:eastAsia="Times New Roman" w:hAnsi="Times New Roman"/>
          <w:sz w:val="24"/>
        </w:rPr>
      </w:pPr>
    </w:p>
    <w:p w14:paraId="67ECD15A" w14:textId="77777777" w:rsidR="00732819" w:rsidRDefault="00732819" w:rsidP="00732819">
      <w:pPr>
        <w:spacing w:line="0" w:lineRule="atLeast"/>
        <w:rPr>
          <w:b/>
          <w:sz w:val="21"/>
        </w:rPr>
      </w:pPr>
    </w:p>
    <w:p w14:paraId="03286209" w14:textId="77777777" w:rsidR="00732819" w:rsidRDefault="00732819" w:rsidP="00732819">
      <w:pPr>
        <w:spacing w:line="0" w:lineRule="atLeast"/>
        <w:jc w:val="right"/>
        <w:rPr>
          <w:b/>
          <w:sz w:val="21"/>
        </w:rPr>
      </w:pPr>
    </w:p>
    <w:p w14:paraId="3F459BCE" w14:textId="77777777" w:rsidR="00732819" w:rsidRDefault="00732819" w:rsidP="00732819">
      <w:pPr>
        <w:spacing w:line="0" w:lineRule="atLeast"/>
        <w:jc w:val="right"/>
        <w:rPr>
          <w:b/>
          <w:sz w:val="21"/>
        </w:rPr>
      </w:pPr>
      <w:r>
        <w:rPr>
          <w:b/>
          <w:sz w:val="21"/>
        </w:rPr>
        <w:t>La Collégiale, le 4 juin 2019 – Mise à Jour le 30 octobre 2021</w:t>
      </w:r>
    </w:p>
    <w:p w14:paraId="63DF5E95" w14:textId="77A2D97A" w:rsidR="009B7AE6" w:rsidRDefault="009B7AE6" w:rsidP="00732819">
      <w:pPr>
        <w:spacing w:line="0" w:lineRule="atLeast"/>
        <w:jc w:val="right"/>
        <w:rPr>
          <w:b/>
          <w:sz w:val="21"/>
        </w:rPr>
      </w:pPr>
      <w:r>
        <w:rPr>
          <w:b/>
          <w:sz w:val="21"/>
        </w:rPr>
        <w:t>Mise à Jour le 22 avril 2025</w:t>
      </w:r>
    </w:p>
    <w:p w14:paraId="3F8CA6DF" w14:textId="77777777" w:rsidR="00FA32E4" w:rsidRDefault="00FA32E4"/>
    <w:sectPr w:rsidR="00FA32E4" w:rsidSect="00732819">
      <w:pgSz w:w="11900" w:h="16838" w:code="9"/>
      <w:pgMar w:top="794" w:right="1021" w:bottom="567" w:left="1021" w:header="0" w:footer="0" w:gutter="0"/>
      <w:cols w:space="0" w:equalWidth="0">
        <w:col w:w="98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EB141F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B71E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974681282">
    <w:abstractNumId w:val="0"/>
  </w:num>
  <w:num w:numId="2" w16cid:durableId="154491289">
    <w:abstractNumId w:val="1"/>
  </w:num>
  <w:num w:numId="3" w16cid:durableId="1879127924">
    <w:abstractNumId w:val="2"/>
  </w:num>
  <w:num w:numId="4" w16cid:durableId="2143384721">
    <w:abstractNumId w:val="3"/>
  </w:num>
  <w:num w:numId="5" w16cid:durableId="55056367">
    <w:abstractNumId w:val="4"/>
  </w:num>
  <w:num w:numId="6" w16cid:durableId="205044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19"/>
    <w:rsid w:val="005F03E5"/>
    <w:rsid w:val="00646A20"/>
    <w:rsid w:val="0069754C"/>
    <w:rsid w:val="00710E88"/>
    <w:rsid w:val="00732819"/>
    <w:rsid w:val="00742D26"/>
    <w:rsid w:val="008C5F0C"/>
    <w:rsid w:val="00946B37"/>
    <w:rsid w:val="009B7AE6"/>
    <w:rsid w:val="00FA32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C3F7"/>
  <w15:chartTrackingRefBased/>
  <w15:docId w15:val="{43FD98E8-6524-43E2-869F-E2911EFA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819"/>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Wittebrood</dc:creator>
  <cp:keywords/>
  <dc:description/>
  <cp:lastModifiedBy>Monique</cp:lastModifiedBy>
  <cp:revision>4</cp:revision>
  <cp:lastPrinted>2021-11-04T14:45:00Z</cp:lastPrinted>
  <dcterms:created xsi:type="dcterms:W3CDTF">2025-04-22T21:13:00Z</dcterms:created>
  <dcterms:modified xsi:type="dcterms:W3CDTF">2025-04-22T21:34:00Z</dcterms:modified>
</cp:coreProperties>
</file>